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B" w:rsidRPr="00E3312B" w:rsidRDefault="00E3312B" w:rsidP="00E3312B">
      <w:pPr>
        <w:shd w:val="clear" w:color="auto" w:fill="F4F4F4"/>
        <w:spacing w:after="150" w:line="540" w:lineRule="atLeast"/>
        <w:jc w:val="center"/>
        <w:textAlignment w:val="baseline"/>
        <w:outlineLvl w:val="0"/>
        <w:rPr>
          <w:b/>
          <w:bCs/>
          <w:spacing w:val="-15"/>
          <w:kern w:val="36"/>
          <w:sz w:val="26"/>
          <w:szCs w:val="32"/>
        </w:rPr>
      </w:pPr>
      <w:r w:rsidRPr="00E3312B">
        <w:rPr>
          <w:b/>
          <w:bCs/>
          <w:spacing w:val="-15"/>
          <w:kern w:val="36"/>
          <w:sz w:val="26"/>
          <w:szCs w:val="32"/>
        </w:rPr>
        <w:t>How an Absent Father Affects Boys and Girls Differently</w:t>
      </w:r>
    </w:p>
    <w:p w:rsidR="00E3312B" w:rsidRPr="00E3312B" w:rsidRDefault="00E3312B" w:rsidP="00E3312B">
      <w:pPr>
        <w:shd w:val="clear" w:color="auto" w:fill="F4F4F4"/>
        <w:spacing w:line="255" w:lineRule="atLeast"/>
        <w:textAlignment w:val="baseline"/>
        <w:rPr>
          <w:spacing w:val="17"/>
          <w:sz w:val="22"/>
          <w:szCs w:val="22"/>
        </w:rPr>
      </w:pPr>
      <w:r w:rsidRPr="00162C77">
        <w:rPr>
          <w:spacing w:val="17"/>
          <w:szCs w:val="18"/>
        </w:rPr>
        <w:br w:type="textWrapping" w:clear="all"/>
      </w:r>
      <w:r w:rsidRPr="00E3312B">
        <w:rPr>
          <w:sz w:val="22"/>
          <w:szCs w:val="22"/>
        </w:rPr>
        <w:t>According to the U.S. Census Bureau, the share of children living in mother-only households has risen from 8 percent in 1960 to </w:t>
      </w:r>
      <w:hyperlink r:id="rId5" w:tgtFrame="_blank" w:history="1">
        <w:r w:rsidRPr="00E3312B">
          <w:rPr>
            <w:b/>
            <w:bCs/>
            <w:sz w:val="22"/>
            <w:szCs w:val="22"/>
          </w:rPr>
          <w:t>23 percent in 2010.</w:t>
        </w:r>
      </w:hyperlink>
      <w:r w:rsidRPr="00E3312B">
        <w:rPr>
          <w:sz w:val="22"/>
          <w:szCs w:val="22"/>
        </w:rPr>
        <w:t> There has been a long-standing interest in the</w:t>
      </w:r>
      <w:hyperlink r:id="rId6" w:tgtFrame="_blank" w:history="1">
        <w:r w:rsidRPr="00E3312B">
          <w:rPr>
            <w:b/>
            <w:bCs/>
            <w:sz w:val="22"/>
            <w:szCs w:val="22"/>
          </w:rPr>
          <w:t> role parents</w:t>
        </w:r>
      </w:hyperlink>
      <w:r w:rsidRPr="00E3312B">
        <w:rPr>
          <w:sz w:val="22"/>
          <w:szCs w:val="22"/>
        </w:rPr>
        <w:t xml:space="preserve"> play in the lives of their children, and while we usually find no merit in helicopter parenting, a basic level of involvement is obviously important. Past research has shown that a father’s involvement with his children is linked to all kinds of beneficial outcomes, from higher academic achievement, improved social and emotional well-being, to lower incidences of delinquency, risk taking, and other problem behaviors.</w:t>
      </w:r>
    </w:p>
    <w:p w:rsidR="00E3312B" w:rsidRPr="00E3312B" w:rsidRDefault="00E3312B" w:rsidP="00E3312B">
      <w:pPr>
        <w:shd w:val="clear" w:color="auto" w:fill="F4F4F4"/>
        <w:spacing w:line="315" w:lineRule="atLeast"/>
        <w:textAlignment w:val="baseline"/>
        <w:rPr>
          <w:sz w:val="22"/>
          <w:szCs w:val="22"/>
        </w:rPr>
      </w:pPr>
    </w:p>
    <w:p w:rsidR="00E3312B" w:rsidRPr="00E3312B" w:rsidRDefault="00E3312B" w:rsidP="00E3312B">
      <w:pPr>
        <w:shd w:val="clear" w:color="auto" w:fill="F4F4F4"/>
        <w:spacing w:line="315" w:lineRule="atLeast"/>
        <w:textAlignment w:val="baseline"/>
        <w:rPr>
          <w:sz w:val="22"/>
          <w:szCs w:val="22"/>
        </w:rPr>
      </w:pPr>
      <w:r w:rsidRPr="00E3312B">
        <w:rPr>
          <w:sz w:val="22"/>
          <w:szCs w:val="22"/>
        </w:rPr>
        <w:t>A new </w:t>
      </w:r>
      <w:hyperlink r:id="rId7" w:tgtFrame="_blank" w:history="1">
        <w:r w:rsidRPr="00E3312B">
          <w:rPr>
            <w:b/>
            <w:bCs/>
            <w:sz w:val="22"/>
            <w:szCs w:val="22"/>
          </w:rPr>
          <w:t>working paper</w:t>
        </w:r>
      </w:hyperlink>
      <w:r w:rsidRPr="00E3312B">
        <w:rPr>
          <w:sz w:val="22"/>
          <w:szCs w:val="22"/>
        </w:rPr>
        <w:t> from authors </w:t>
      </w:r>
      <w:hyperlink r:id="rId8" w:tgtFrame="_blank" w:history="1">
        <w:r w:rsidRPr="00E3312B">
          <w:rPr>
            <w:b/>
            <w:bCs/>
            <w:sz w:val="22"/>
            <w:szCs w:val="22"/>
          </w:rPr>
          <w:t>Deborah A. Cobb-Clark</w:t>
        </w:r>
      </w:hyperlink>
      <w:r w:rsidRPr="00E3312B">
        <w:rPr>
          <w:sz w:val="22"/>
          <w:szCs w:val="22"/>
        </w:rPr>
        <w:t> and </w:t>
      </w:r>
      <w:proofErr w:type="spellStart"/>
      <w:r w:rsidRPr="00E3312B">
        <w:rPr>
          <w:sz w:val="22"/>
          <w:szCs w:val="22"/>
        </w:rPr>
        <w:fldChar w:fldCharType="begin"/>
      </w:r>
      <w:r w:rsidRPr="00E3312B">
        <w:rPr>
          <w:sz w:val="22"/>
          <w:szCs w:val="22"/>
        </w:rPr>
        <w:instrText xml:space="preserve"> HYPERLINK "http://aysps.gsu.edu/erdal-tekin.html" \t "_blank" </w:instrText>
      </w:r>
      <w:r w:rsidRPr="00E3312B">
        <w:rPr>
          <w:sz w:val="22"/>
          <w:szCs w:val="22"/>
        </w:rPr>
        <w:fldChar w:fldCharType="separate"/>
      </w:r>
      <w:r w:rsidRPr="00E3312B">
        <w:rPr>
          <w:b/>
          <w:bCs/>
          <w:sz w:val="22"/>
          <w:szCs w:val="22"/>
        </w:rPr>
        <w:t>Erdal</w:t>
      </w:r>
      <w:proofErr w:type="spellEnd"/>
      <w:r w:rsidRPr="00E3312B">
        <w:rPr>
          <w:b/>
          <w:bCs/>
          <w:sz w:val="22"/>
          <w:szCs w:val="22"/>
        </w:rPr>
        <w:t xml:space="preserve"> </w:t>
      </w:r>
      <w:proofErr w:type="spellStart"/>
      <w:r w:rsidRPr="00E3312B">
        <w:rPr>
          <w:b/>
          <w:bCs/>
          <w:sz w:val="22"/>
          <w:szCs w:val="22"/>
        </w:rPr>
        <w:t>Tekin</w:t>
      </w:r>
      <w:proofErr w:type="spellEnd"/>
      <w:r w:rsidRPr="00E3312B">
        <w:rPr>
          <w:sz w:val="22"/>
          <w:szCs w:val="22"/>
        </w:rPr>
        <w:fldChar w:fldCharType="end"/>
      </w:r>
      <w:r w:rsidRPr="00E3312B">
        <w:rPr>
          <w:sz w:val="22"/>
          <w:szCs w:val="22"/>
        </w:rPr>
        <w:t> examines the relationship between juvenile delinquency and the role of a father in the household, particularly in terms of the different effects an absent father has on boys and girls. They discovered, among other things, that sons benefit far more from a father (or father-figure) than daughters do. From the abstract:</w:t>
      </w:r>
    </w:p>
    <w:p w:rsidR="00E3312B" w:rsidRPr="00E3312B" w:rsidRDefault="00E3312B" w:rsidP="00E3312B">
      <w:pPr>
        <w:shd w:val="clear" w:color="auto" w:fill="FCFCFC"/>
        <w:spacing w:line="315" w:lineRule="atLeast"/>
        <w:jc w:val="both"/>
        <w:textAlignment w:val="baseline"/>
        <w:rPr>
          <w:rFonts w:asciiTheme="minorHAnsi" w:hAnsiTheme="minorHAnsi"/>
          <w:sz w:val="22"/>
          <w:szCs w:val="22"/>
        </w:rPr>
      </w:pPr>
      <w:r w:rsidRPr="00E3312B">
        <w:rPr>
          <w:rFonts w:asciiTheme="minorHAnsi" w:hAnsiTheme="minorHAnsi"/>
          <w:sz w:val="22"/>
          <w:szCs w:val="22"/>
        </w:rPr>
        <w:t>…we find that adolescent boys engage in more delinquent behavior if there is no father figure in their lives. However, adolescent girls’ behavior is largely independent of the presence (or absence) of their fathers.</w:t>
      </w:r>
    </w:p>
    <w:p w:rsidR="00E3312B" w:rsidRPr="00E3312B" w:rsidRDefault="00E3312B" w:rsidP="00E3312B">
      <w:pPr>
        <w:shd w:val="clear" w:color="auto" w:fill="F4F4F4"/>
        <w:spacing w:line="315" w:lineRule="atLeast"/>
        <w:textAlignment w:val="baseline"/>
        <w:rPr>
          <w:sz w:val="22"/>
          <w:szCs w:val="22"/>
        </w:rPr>
      </w:pPr>
    </w:p>
    <w:p w:rsidR="00E3312B" w:rsidRPr="00E3312B" w:rsidRDefault="00E3312B" w:rsidP="00E3312B">
      <w:pPr>
        <w:shd w:val="clear" w:color="auto" w:fill="F4F4F4"/>
        <w:spacing w:line="315" w:lineRule="atLeast"/>
        <w:textAlignment w:val="baseline"/>
        <w:rPr>
          <w:sz w:val="22"/>
          <w:szCs w:val="22"/>
        </w:rPr>
      </w:pPr>
      <w:r w:rsidRPr="00E3312B">
        <w:rPr>
          <w:sz w:val="22"/>
          <w:szCs w:val="22"/>
        </w:rPr>
        <w:t>Though a non-residential father isn’t ideal, a father-like replacement does have positive effects on boys. A stepfather tends to reduce delinquent behavior, and having a father figure who puts in a significant quantity of time around a child is important.</w:t>
      </w:r>
    </w:p>
    <w:p w:rsidR="00E3312B" w:rsidRPr="00E3312B" w:rsidRDefault="00E3312B" w:rsidP="00E3312B">
      <w:pPr>
        <w:shd w:val="clear" w:color="auto" w:fill="FCFCFC"/>
        <w:spacing w:line="315" w:lineRule="atLeast"/>
        <w:jc w:val="both"/>
        <w:textAlignment w:val="baseline"/>
        <w:rPr>
          <w:sz w:val="22"/>
          <w:szCs w:val="22"/>
        </w:rPr>
      </w:pPr>
    </w:p>
    <w:p w:rsidR="00E3312B" w:rsidRPr="00E3312B" w:rsidRDefault="00E3312B" w:rsidP="00E3312B">
      <w:pPr>
        <w:shd w:val="clear" w:color="auto" w:fill="FCFCFC"/>
        <w:spacing w:line="315" w:lineRule="atLeast"/>
        <w:jc w:val="both"/>
        <w:textAlignment w:val="baseline"/>
        <w:rPr>
          <w:sz w:val="22"/>
          <w:szCs w:val="22"/>
        </w:rPr>
      </w:pPr>
      <w:r w:rsidRPr="00E3312B">
        <w:rPr>
          <w:sz w:val="22"/>
          <w:szCs w:val="22"/>
        </w:rPr>
        <w:t>Adolescent boys who have a father figure in their lives are significantly less likely to engage in subsequent delinquent behavior than are their peers with no father in their lives.  For example, the incidence of any form of delinquent behavior is 7.6 percentage points lower among boys living with their biological fathers and is 8.5 percentage points lower among boys who live with stepfathers and have no relationship with their biological fathers.</w:t>
      </w:r>
    </w:p>
    <w:p w:rsidR="00E3312B" w:rsidRPr="00E3312B" w:rsidRDefault="00E3312B" w:rsidP="00E3312B">
      <w:pPr>
        <w:shd w:val="clear" w:color="auto" w:fill="F4F4F4"/>
        <w:spacing w:line="315" w:lineRule="atLeast"/>
        <w:textAlignment w:val="baseline"/>
        <w:rPr>
          <w:sz w:val="22"/>
          <w:szCs w:val="22"/>
        </w:rPr>
      </w:pPr>
    </w:p>
    <w:p w:rsidR="00E3312B" w:rsidRPr="00E3312B" w:rsidRDefault="00E3312B" w:rsidP="00E3312B">
      <w:pPr>
        <w:shd w:val="clear" w:color="auto" w:fill="F4F4F4"/>
        <w:spacing w:line="315" w:lineRule="atLeast"/>
        <w:textAlignment w:val="baseline"/>
        <w:rPr>
          <w:sz w:val="22"/>
          <w:szCs w:val="22"/>
        </w:rPr>
      </w:pPr>
      <w:r w:rsidRPr="00E3312B">
        <w:rPr>
          <w:sz w:val="22"/>
          <w:szCs w:val="22"/>
        </w:rPr>
        <w:t>While daughters generally require a level of quality interaction with a father figure, sons benefit from sheer quantity of time, and respond simply to having a father or father figure around the house. Most interestingly, however, is the finding that daughters appear to be </w:t>
      </w:r>
      <w:r w:rsidRPr="00E3312B">
        <w:rPr>
          <w:i/>
          <w:iCs/>
          <w:sz w:val="22"/>
          <w:szCs w:val="22"/>
        </w:rPr>
        <w:t>adversely</w:t>
      </w:r>
      <w:r w:rsidRPr="00E3312B">
        <w:rPr>
          <w:sz w:val="22"/>
          <w:szCs w:val="22"/>
        </w:rPr>
        <w:t> affected by contact with their non-residential biological father.</w:t>
      </w:r>
    </w:p>
    <w:p w:rsidR="00E3312B" w:rsidRPr="00E3312B" w:rsidRDefault="00E3312B" w:rsidP="00E3312B">
      <w:pPr>
        <w:shd w:val="clear" w:color="auto" w:fill="FCFCFC"/>
        <w:spacing w:line="315" w:lineRule="atLeast"/>
        <w:jc w:val="both"/>
        <w:textAlignment w:val="baseline"/>
        <w:rPr>
          <w:sz w:val="22"/>
          <w:szCs w:val="22"/>
        </w:rPr>
      </w:pPr>
    </w:p>
    <w:p w:rsidR="00E3312B" w:rsidRPr="00E3312B" w:rsidRDefault="00E3312B" w:rsidP="00E3312B">
      <w:pPr>
        <w:shd w:val="clear" w:color="auto" w:fill="FCFCFC"/>
        <w:spacing w:line="315" w:lineRule="atLeast"/>
        <w:jc w:val="both"/>
        <w:textAlignment w:val="baseline"/>
        <w:rPr>
          <w:sz w:val="22"/>
          <w:szCs w:val="22"/>
        </w:rPr>
      </w:pPr>
      <w:r w:rsidRPr="00E3312B">
        <w:rPr>
          <w:sz w:val="22"/>
          <w:szCs w:val="22"/>
        </w:rPr>
        <w:t>It is also important to note that growing up with only a non-residential, biological father who spent time talking with his adolescent daughter appears to be associated with slight increases in her delinquent behavior as measured by any type of crime, violent crime, and selling drugs once she reaches adulthood. This surprising result may be due to the possibility that these verbal interactions between the non-residential father and the adolescent  is an indication of a problematic relationship between the two, which might have manifested itself as delinquent behavior later in life.</w:t>
      </w:r>
    </w:p>
    <w:p w:rsidR="00E3312B" w:rsidRPr="00E3312B" w:rsidRDefault="00E3312B" w:rsidP="00E3312B">
      <w:pPr>
        <w:shd w:val="clear" w:color="auto" w:fill="F4F4F4"/>
        <w:spacing w:line="315" w:lineRule="atLeast"/>
        <w:textAlignment w:val="baseline"/>
        <w:rPr>
          <w:sz w:val="22"/>
          <w:szCs w:val="22"/>
        </w:rPr>
      </w:pPr>
    </w:p>
    <w:p w:rsidR="00E3312B" w:rsidRPr="00E3312B" w:rsidRDefault="00E3312B" w:rsidP="00E3312B">
      <w:pPr>
        <w:shd w:val="clear" w:color="auto" w:fill="F4F4F4"/>
        <w:spacing w:line="315" w:lineRule="atLeast"/>
        <w:textAlignment w:val="baseline"/>
        <w:rPr>
          <w:sz w:val="22"/>
          <w:szCs w:val="22"/>
        </w:rPr>
      </w:pPr>
      <w:r w:rsidRPr="00E3312B">
        <w:rPr>
          <w:sz w:val="22"/>
          <w:szCs w:val="22"/>
        </w:rPr>
        <w:t>For both young men and women, delinquent behavior decreased if their mothers simply spent time “doing things” with them during their adolescence. Mothers also do significantly more “talking” with their daughters than with their sons, a potential contributor for why sons are more affected by the absence of a father than daughters are. However, the authors note that:</w:t>
      </w:r>
    </w:p>
    <w:p w:rsidR="00E3312B" w:rsidRPr="00E3312B" w:rsidRDefault="00E3312B" w:rsidP="00E3312B">
      <w:pPr>
        <w:shd w:val="clear" w:color="auto" w:fill="FCFCFC"/>
        <w:spacing w:line="315" w:lineRule="atLeast"/>
        <w:jc w:val="both"/>
        <w:textAlignment w:val="baseline"/>
        <w:rPr>
          <w:rFonts w:asciiTheme="minorHAnsi" w:hAnsiTheme="minorHAnsi"/>
          <w:sz w:val="22"/>
          <w:szCs w:val="22"/>
        </w:rPr>
      </w:pPr>
      <w:r w:rsidRPr="00E3312B">
        <w:rPr>
          <w:rFonts w:asciiTheme="minorHAnsi" w:hAnsiTheme="minorHAnsi"/>
          <w:sz w:val="22"/>
          <w:szCs w:val="22"/>
        </w:rPr>
        <w:t>Mothers also do not appear to compensate for the complete absence of a father figure by increasing their involvement with their children. In fact, it is those children without a father figure in their lives who engage in fewer activities and talk about fewer issues with their mothers.</w:t>
      </w:r>
    </w:p>
    <w:p w:rsidR="00C857FF" w:rsidRDefault="00C857FF" w:rsidP="00C76FC7">
      <w:pPr>
        <w:jc w:val="center"/>
        <w:rPr>
          <w:b/>
          <w:sz w:val="22"/>
          <w:szCs w:val="22"/>
        </w:rPr>
      </w:pPr>
    </w:p>
    <w:p w:rsidR="00E3312B" w:rsidRPr="00C51825" w:rsidRDefault="00B26791" w:rsidP="00C51825">
      <w:pPr>
        <w:jc w:val="center"/>
        <w:rPr>
          <w:rFonts w:ascii="Aparajita" w:hAnsi="Aparajita" w:cs="Aparajita"/>
          <w:b/>
        </w:rPr>
      </w:pPr>
      <w:r>
        <w:rPr>
          <w:rFonts w:ascii="Aparajita" w:hAnsi="Aparajita" w:cs="Aparajita"/>
          <w:b/>
        </w:rPr>
        <w:lastRenderedPageBreak/>
        <w:t>Making an inference is making a logical guess about the text using information in the text. It is NOT summary or paraphrase or “What was said?” or literal comprehension. It is assuming ideas based on the words on the page. Inferences cannot be found on the page. They are a combination of the author’s words and the reader’s thoughts. To earn a 3.0, make one insightful inference about this text, the author, or the topic. Then justify your response using text words as support. To earn a 4.0, make more than one unique reference and justify them.</w:t>
      </w:r>
    </w:p>
    <w:p w:rsidR="00C857FF" w:rsidRDefault="00C857FF" w:rsidP="00C76FC7">
      <w:pPr>
        <w:jc w:val="center"/>
        <w:rPr>
          <w:b/>
          <w:sz w:val="22"/>
          <w:szCs w:val="22"/>
        </w:rPr>
      </w:pPr>
    </w:p>
    <w:p w:rsidR="00E3312B" w:rsidRDefault="00E3312B" w:rsidP="00C76FC7">
      <w:pPr>
        <w:jc w:val="center"/>
        <w:rPr>
          <w:b/>
          <w:sz w:val="22"/>
          <w:szCs w:val="22"/>
        </w:rPr>
      </w:pPr>
    </w:p>
    <w:p w:rsidR="00E3312B" w:rsidRDefault="00E3312B"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C51825" w:rsidRDefault="00C51825" w:rsidP="00C76FC7">
      <w:pPr>
        <w:jc w:val="center"/>
        <w:rPr>
          <w:b/>
          <w:sz w:val="22"/>
          <w:szCs w:val="22"/>
        </w:rPr>
      </w:pPr>
    </w:p>
    <w:p w:rsidR="00E3312B" w:rsidRDefault="00E3312B" w:rsidP="00B26791">
      <w:pPr>
        <w:rPr>
          <w:b/>
          <w:sz w:val="22"/>
          <w:szCs w:val="22"/>
        </w:rPr>
      </w:pPr>
      <w:bookmarkStart w:id="0" w:name="_GoBack"/>
      <w:bookmarkEnd w:id="0"/>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C51825" w:rsidRPr="00236BB5" w:rsidTr="00741E99">
        <w:tc>
          <w:tcPr>
            <w:tcW w:w="1908" w:type="dxa"/>
          </w:tcPr>
          <w:p w:rsidR="00C51825" w:rsidRPr="00C51825" w:rsidRDefault="00C51825" w:rsidP="00C51825">
            <w:pPr>
              <w:jc w:val="center"/>
              <w:rPr>
                <w:rFonts w:ascii="Aparajita" w:eastAsia="Calibri" w:hAnsi="Aparajita" w:cs="Aparajita"/>
                <w:b/>
                <w:sz w:val="22"/>
                <w:szCs w:val="22"/>
                <w:u w:val="single"/>
              </w:rPr>
            </w:pPr>
            <w:r w:rsidRPr="00C51825">
              <w:rPr>
                <w:rFonts w:ascii="Aparajita" w:eastAsia="Calibri" w:hAnsi="Aparajita" w:cs="Aparajita"/>
                <w:b/>
                <w:sz w:val="22"/>
                <w:szCs w:val="22"/>
                <w:u w:val="single"/>
              </w:rPr>
              <w:t>Learning Target</w:t>
            </w:r>
          </w:p>
        </w:tc>
        <w:tc>
          <w:tcPr>
            <w:tcW w:w="1980" w:type="dxa"/>
          </w:tcPr>
          <w:p w:rsidR="00C51825" w:rsidRPr="00236BB5" w:rsidRDefault="00C51825" w:rsidP="00C51825">
            <w:pPr>
              <w:jc w:val="center"/>
              <w:rPr>
                <w:rFonts w:ascii="Aparajita" w:eastAsia="Calibri" w:hAnsi="Aparajita" w:cs="Aparajita"/>
                <w:b/>
                <w:sz w:val="20"/>
                <w:szCs w:val="22"/>
                <w:u w:val="single"/>
              </w:rPr>
            </w:pPr>
            <w:r>
              <w:rPr>
                <w:rFonts w:ascii="Aparajita" w:eastAsia="Calibri" w:hAnsi="Aparajita" w:cs="Aparajita"/>
                <w:b/>
                <w:sz w:val="20"/>
                <w:szCs w:val="22"/>
                <w:u w:val="single"/>
              </w:rPr>
              <w:t>4.0</w:t>
            </w:r>
          </w:p>
        </w:tc>
        <w:tc>
          <w:tcPr>
            <w:tcW w:w="2160" w:type="dxa"/>
          </w:tcPr>
          <w:p w:rsidR="00C51825" w:rsidRPr="00236BB5" w:rsidRDefault="00C51825" w:rsidP="00C51825">
            <w:pPr>
              <w:jc w:val="center"/>
              <w:rPr>
                <w:rFonts w:ascii="Aparajita" w:eastAsia="Calibri" w:hAnsi="Aparajita" w:cs="Aparajita"/>
                <w:b/>
                <w:sz w:val="20"/>
                <w:szCs w:val="22"/>
                <w:u w:val="single"/>
              </w:rPr>
            </w:pPr>
            <w:r>
              <w:rPr>
                <w:rFonts w:ascii="Aparajita" w:eastAsia="Calibri" w:hAnsi="Aparajita" w:cs="Aparajita"/>
                <w:b/>
                <w:sz w:val="20"/>
                <w:szCs w:val="22"/>
                <w:u w:val="single"/>
              </w:rPr>
              <w:t>3.0</w:t>
            </w:r>
          </w:p>
        </w:tc>
        <w:tc>
          <w:tcPr>
            <w:tcW w:w="2358" w:type="dxa"/>
          </w:tcPr>
          <w:p w:rsidR="00C51825" w:rsidRPr="00236BB5" w:rsidRDefault="00C51825" w:rsidP="00C51825">
            <w:pPr>
              <w:jc w:val="center"/>
              <w:rPr>
                <w:rFonts w:ascii="Aparajita" w:eastAsia="Calibri" w:hAnsi="Aparajita" w:cs="Aparajita"/>
                <w:b/>
                <w:sz w:val="20"/>
                <w:szCs w:val="22"/>
                <w:u w:val="single"/>
              </w:rPr>
            </w:pPr>
            <w:r>
              <w:rPr>
                <w:rFonts w:ascii="Aparajita" w:eastAsia="Calibri" w:hAnsi="Aparajita" w:cs="Aparajita"/>
                <w:b/>
                <w:sz w:val="20"/>
                <w:szCs w:val="22"/>
                <w:u w:val="single"/>
              </w:rPr>
              <w:t>2.0</w:t>
            </w:r>
          </w:p>
        </w:tc>
        <w:tc>
          <w:tcPr>
            <w:tcW w:w="2358" w:type="dxa"/>
          </w:tcPr>
          <w:p w:rsidR="00C51825" w:rsidRPr="00236BB5" w:rsidRDefault="00C51825" w:rsidP="00C51825">
            <w:pPr>
              <w:jc w:val="center"/>
              <w:rPr>
                <w:rFonts w:ascii="Aparajita" w:eastAsia="Calibri" w:hAnsi="Aparajita" w:cs="Aparajita"/>
                <w:b/>
                <w:sz w:val="20"/>
                <w:szCs w:val="22"/>
                <w:u w:val="single"/>
              </w:rPr>
            </w:pPr>
            <w:r>
              <w:rPr>
                <w:rFonts w:ascii="Aparajita" w:eastAsia="Calibri" w:hAnsi="Aparajita" w:cs="Aparajita"/>
                <w:b/>
                <w:sz w:val="20"/>
                <w:szCs w:val="22"/>
                <w:u w:val="single"/>
              </w:rPr>
              <w:t>1.0</w:t>
            </w:r>
          </w:p>
        </w:tc>
      </w:tr>
      <w:tr w:rsidR="00B26791" w:rsidRPr="00236BB5" w:rsidTr="00741E99">
        <w:tc>
          <w:tcPr>
            <w:tcW w:w="1908" w:type="dxa"/>
          </w:tcPr>
          <w:p w:rsidR="00B26791" w:rsidRPr="00DF2EBE" w:rsidRDefault="00B26791" w:rsidP="00B26791">
            <w:pPr>
              <w:rPr>
                <w:rFonts w:ascii="Cambria" w:hAnsi="Cambria" w:cs="Aparajita"/>
                <w:bCs/>
                <w:sz w:val="22"/>
                <w:szCs w:val="22"/>
              </w:rPr>
            </w:pPr>
            <w:r w:rsidRPr="00DF2EBE">
              <w:rPr>
                <w:rFonts w:ascii="Cambria" w:hAnsi="Cambria" w:cs="Aparajita"/>
                <w:bCs/>
                <w:sz w:val="22"/>
                <w:szCs w:val="22"/>
              </w:rPr>
              <w:t xml:space="preserve">Make </w:t>
            </w:r>
            <w:r w:rsidRPr="00DF2EBE">
              <w:rPr>
                <w:rFonts w:ascii="Cambria" w:hAnsi="Cambria" w:cs="Aparajita"/>
                <w:b/>
                <w:bCs/>
                <w:sz w:val="22"/>
                <w:szCs w:val="22"/>
              </w:rPr>
              <w:t>inferences</w:t>
            </w:r>
            <w:r w:rsidRPr="00DF2EBE">
              <w:rPr>
                <w:rFonts w:ascii="Cambria" w:hAnsi="Cambria" w:cs="Aparajita"/>
                <w:bCs/>
                <w:sz w:val="22"/>
                <w:szCs w:val="22"/>
              </w:rPr>
              <w:t xml:space="preserve"> while reading </w:t>
            </w:r>
            <w:r w:rsidRPr="00DF2EBE">
              <w:rPr>
                <w:rFonts w:ascii="Cambria" w:hAnsi="Cambria" w:cs="Aparajita"/>
                <w:bCs/>
                <w:sz w:val="20"/>
                <w:szCs w:val="20"/>
              </w:rPr>
              <w:t>fiction &amp;</w:t>
            </w:r>
            <w:r w:rsidRPr="00DF2EBE">
              <w:rPr>
                <w:rFonts w:ascii="Cambria" w:hAnsi="Cambria" w:cs="Aparajita"/>
                <w:bCs/>
                <w:sz w:val="22"/>
                <w:szCs w:val="22"/>
              </w:rPr>
              <w:t xml:space="preserve"> </w:t>
            </w:r>
            <w:r w:rsidRPr="00DF2EBE">
              <w:rPr>
                <w:rFonts w:ascii="Cambria" w:hAnsi="Cambria" w:cs="Aparajita"/>
                <w:bCs/>
                <w:sz w:val="20"/>
                <w:szCs w:val="20"/>
              </w:rPr>
              <w:t>nonfiction</w:t>
            </w:r>
          </w:p>
        </w:tc>
        <w:tc>
          <w:tcPr>
            <w:tcW w:w="1980" w:type="dxa"/>
          </w:tcPr>
          <w:p w:rsidR="00B26791" w:rsidRPr="00DF2EBE" w:rsidRDefault="00B26791" w:rsidP="00B26791">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insightfully </w:t>
            </w:r>
          </w:p>
          <w:p w:rsidR="00B26791" w:rsidRPr="00DF2EBE" w:rsidRDefault="00B26791" w:rsidP="00B26791">
            <w:pPr>
              <w:ind w:right="-720"/>
              <w:rPr>
                <w:rFonts w:ascii="Cambria" w:hAnsi="Cambria" w:cs="Aparajita"/>
                <w:sz w:val="20"/>
                <w:szCs w:val="18"/>
              </w:rPr>
            </w:pPr>
            <w:r w:rsidRPr="00DF2EBE">
              <w:rPr>
                <w:rFonts w:ascii="Cambria" w:hAnsi="Cambria" w:cs="Aparajita"/>
                <w:sz w:val="20"/>
                <w:szCs w:val="18"/>
              </w:rPr>
              <w:t xml:space="preserve">make </w:t>
            </w: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B26791" w:rsidRPr="00DF2EBE" w:rsidRDefault="00B26791" w:rsidP="00B26791">
            <w:pPr>
              <w:ind w:right="-720"/>
              <w:rPr>
                <w:rFonts w:ascii="Cambria" w:hAnsi="Cambria" w:cs="Aparajita"/>
                <w:sz w:val="20"/>
                <w:szCs w:val="18"/>
              </w:rPr>
            </w:pPr>
            <w:r w:rsidRPr="00DF2EBE">
              <w:rPr>
                <w:rFonts w:ascii="Cambria" w:hAnsi="Cambria" w:cs="Aparajita"/>
                <w:sz w:val="20"/>
                <w:szCs w:val="18"/>
              </w:rPr>
              <w:t xml:space="preserve">evidence accurately </w:t>
            </w:r>
          </w:p>
          <w:p w:rsidR="00B26791" w:rsidRPr="00DF2EBE" w:rsidRDefault="00B26791" w:rsidP="00B26791">
            <w:pPr>
              <w:ind w:right="-720"/>
              <w:rPr>
                <w:rFonts w:ascii="Cambria" w:hAnsi="Cambria" w:cs="Aparajita"/>
                <w:sz w:val="20"/>
                <w:szCs w:val="20"/>
              </w:rPr>
            </w:pPr>
            <w:proofErr w:type="gramStart"/>
            <w:r w:rsidRPr="00DF2EBE">
              <w:rPr>
                <w:rFonts w:ascii="Cambria" w:hAnsi="Cambria" w:cs="Aparajita"/>
                <w:sz w:val="20"/>
                <w:szCs w:val="18"/>
              </w:rPr>
              <w:t>beyond</w:t>
            </w:r>
            <w:proofErr w:type="gramEnd"/>
            <w:r w:rsidRPr="00DF2EBE">
              <w:rPr>
                <w:rFonts w:ascii="Cambria" w:hAnsi="Cambria" w:cs="Aparajita"/>
                <w:sz w:val="20"/>
                <w:szCs w:val="18"/>
              </w:rPr>
              <w:t xml:space="preserve"> expectations.</w:t>
            </w:r>
          </w:p>
        </w:tc>
        <w:tc>
          <w:tcPr>
            <w:tcW w:w="2160" w:type="dxa"/>
          </w:tcPr>
          <w:p w:rsidR="00B26791" w:rsidRDefault="00B26791" w:rsidP="00B26791">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make </w:t>
            </w:r>
          </w:p>
          <w:p w:rsidR="00B26791" w:rsidRDefault="00B26791" w:rsidP="00B26791">
            <w:pPr>
              <w:ind w:right="-720"/>
              <w:rPr>
                <w:rFonts w:ascii="Cambria" w:hAnsi="Cambria" w:cs="Aparajita"/>
                <w:sz w:val="20"/>
                <w:szCs w:val="18"/>
              </w:rPr>
            </w:pP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B26791" w:rsidRPr="00DF2EBE" w:rsidRDefault="00B26791" w:rsidP="00B26791">
            <w:pPr>
              <w:ind w:right="-720"/>
              <w:rPr>
                <w:rFonts w:ascii="Cambria" w:hAnsi="Cambria" w:cs="Aparajita"/>
                <w:sz w:val="20"/>
                <w:szCs w:val="18"/>
              </w:rPr>
            </w:pPr>
            <w:r w:rsidRPr="00DF2EBE">
              <w:rPr>
                <w:rFonts w:ascii="Cambria" w:hAnsi="Cambria" w:cs="Aparajita"/>
                <w:sz w:val="20"/>
                <w:szCs w:val="18"/>
              </w:rPr>
              <w:t xml:space="preserve">evidence relatively </w:t>
            </w:r>
          </w:p>
          <w:p w:rsidR="00B26791" w:rsidRDefault="00B26791" w:rsidP="00B26791">
            <w:pPr>
              <w:ind w:right="-720"/>
              <w:rPr>
                <w:rFonts w:ascii="Cambria" w:hAnsi="Cambria" w:cs="Aparajita"/>
                <w:sz w:val="20"/>
                <w:szCs w:val="18"/>
              </w:rPr>
            </w:pPr>
            <w:r w:rsidRPr="00DF2EBE">
              <w:rPr>
                <w:rFonts w:ascii="Cambria" w:hAnsi="Cambria" w:cs="Aparajita"/>
                <w:sz w:val="20"/>
                <w:szCs w:val="18"/>
              </w:rPr>
              <w:t xml:space="preserve">accurately &amp; </w:t>
            </w:r>
          </w:p>
          <w:p w:rsidR="00B26791" w:rsidRPr="00DF2EBE" w:rsidRDefault="00B26791" w:rsidP="00B26791">
            <w:pPr>
              <w:ind w:right="-720"/>
              <w:rPr>
                <w:rFonts w:ascii="Cambria" w:hAnsi="Cambria" w:cs="Aparajita"/>
                <w:sz w:val="18"/>
                <w:szCs w:val="18"/>
              </w:rPr>
            </w:pPr>
            <w:proofErr w:type="gramStart"/>
            <w:r w:rsidRPr="00DF2EBE">
              <w:rPr>
                <w:rFonts w:ascii="Cambria" w:hAnsi="Cambria" w:cs="Aparajita"/>
                <w:sz w:val="20"/>
                <w:szCs w:val="18"/>
              </w:rPr>
              <w:t>consistently</w:t>
            </w:r>
            <w:proofErr w:type="gramEnd"/>
            <w:r w:rsidRPr="00DF2EBE">
              <w:rPr>
                <w:rFonts w:ascii="Cambria" w:hAnsi="Cambria" w:cs="Aparajita"/>
                <w:sz w:val="20"/>
                <w:szCs w:val="18"/>
              </w:rPr>
              <w:t>.</w:t>
            </w:r>
          </w:p>
        </w:tc>
        <w:tc>
          <w:tcPr>
            <w:tcW w:w="2358" w:type="dxa"/>
          </w:tcPr>
          <w:p w:rsidR="00B26791" w:rsidRDefault="00B26791" w:rsidP="00B26791">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 make some </w:t>
            </w:r>
          </w:p>
          <w:p w:rsidR="00B26791" w:rsidRDefault="00B26791" w:rsidP="00B26791">
            <w:pPr>
              <w:ind w:right="-720"/>
              <w:rPr>
                <w:rFonts w:ascii="Cambria" w:hAnsi="Cambria" w:cs="Aparajita"/>
                <w:sz w:val="20"/>
                <w:szCs w:val="20"/>
              </w:rPr>
            </w:pPr>
            <w:r w:rsidRPr="00DF2EBE">
              <w:rPr>
                <w:rFonts w:ascii="Cambria" w:hAnsi="Cambria" w:cs="Aparajita"/>
                <w:sz w:val="20"/>
                <w:szCs w:val="20"/>
                <w:u w:val="single"/>
              </w:rPr>
              <w:t>inferences</w:t>
            </w:r>
            <w:r w:rsidRPr="00DF2EBE">
              <w:rPr>
                <w:rFonts w:ascii="Cambria" w:hAnsi="Cambria" w:cs="Aparajita"/>
                <w:sz w:val="20"/>
                <w:szCs w:val="20"/>
              </w:rPr>
              <w:t xml:space="preserve"> from text </w:t>
            </w:r>
          </w:p>
          <w:p w:rsidR="00B26791" w:rsidRPr="00DF2EBE" w:rsidRDefault="00B26791" w:rsidP="00B26791">
            <w:pPr>
              <w:ind w:right="-720"/>
              <w:rPr>
                <w:rFonts w:ascii="Cambria" w:hAnsi="Cambria" w:cs="Aparajita"/>
                <w:sz w:val="20"/>
                <w:szCs w:val="20"/>
              </w:rPr>
            </w:pPr>
            <w:r w:rsidRPr="00DF2EBE">
              <w:rPr>
                <w:rFonts w:ascii="Cambria" w:hAnsi="Cambria" w:cs="Aparajita"/>
                <w:sz w:val="20"/>
                <w:szCs w:val="20"/>
              </w:rPr>
              <w:t xml:space="preserve">evidence somewhat </w:t>
            </w:r>
          </w:p>
          <w:p w:rsidR="00B26791" w:rsidRPr="00DF2EBE" w:rsidRDefault="00B26791" w:rsidP="00B26791">
            <w:pPr>
              <w:ind w:right="-720"/>
              <w:rPr>
                <w:rFonts w:ascii="Cambria" w:hAnsi="Cambria" w:cs="Aparajita"/>
                <w:sz w:val="20"/>
                <w:szCs w:val="20"/>
              </w:rPr>
            </w:pPr>
            <w:r w:rsidRPr="00DF2EBE">
              <w:rPr>
                <w:rFonts w:ascii="Cambria" w:hAnsi="Cambria" w:cs="Aparajita"/>
                <w:sz w:val="20"/>
                <w:szCs w:val="20"/>
              </w:rPr>
              <w:t xml:space="preserve">accurately and somewhat </w:t>
            </w:r>
          </w:p>
          <w:p w:rsidR="00B26791" w:rsidRPr="00DF2EBE" w:rsidRDefault="00B26791" w:rsidP="00B26791">
            <w:pPr>
              <w:ind w:right="-720"/>
              <w:rPr>
                <w:rFonts w:ascii="Cambria" w:hAnsi="Cambria" w:cs="Aparajita"/>
                <w:sz w:val="18"/>
                <w:szCs w:val="18"/>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B26791" w:rsidRDefault="00B26791" w:rsidP="00B26791">
            <w:pPr>
              <w:ind w:right="-720"/>
              <w:rPr>
                <w:rFonts w:ascii="Cambria" w:hAnsi="Cambria" w:cs="Aparajita"/>
                <w:sz w:val="18"/>
                <w:szCs w:val="18"/>
              </w:rPr>
            </w:pPr>
            <w:r w:rsidRPr="00DF2EBE">
              <w:rPr>
                <w:rFonts w:ascii="Cambria" w:hAnsi="Cambria" w:cs="Aparajita"/>
                <w:b/>
                <w:sz w:val="18"/>
                <w:szCs w:val="18"/>
                <w:u w:val="single"/>
              </w:rPr>
              <w:t>I struggle to</w:t>
            </w:r>
            <w:r w:rsidRPr="00DF2EBE">
              <w:rPr>
                <w:rFonts w:ascii="Cambria" w:hAnsi="Cambria" w:cs="Aparajita"/>
                <w:sz w:val="18"/>
                <w:szCs w:val="18"/>
              </w:rPr>
              <w:t xml:space="preserve"> make </w:t>
            </w:r>
          </w:p>
          <w:p w:rsidR="00B26791" w:rsidRDefault="00B26791" w:rsidP="00B26791">
            <w:pPr>
              <w:ind w:right="-720"/>
              <w:rPr>
                <w:rFonts w:ascii="Cambria" w:hAnsi="Cambria" w:cs="Aparajita"/>
                <w:sz w:val="18"/>
                <w:szCs w:val="18"/>
              </w:rPr>
            </w:pPr>
            <w:proofErr w:type="gramStart"/>
            <w:r w:rsidRPr="00DF2EBE">
              <w:rPr>
                <w:rFonts w:ascii="Cambria" w:hAnsi="Cambria" w:cs="Aparajita"/>
                <w:sz w:val="18"/>
                <w:szCs w:val="18"/>
                <w:u w:val="single"/>
              </w:rPr>
              <w:t>inferences</w:t>
            </w:r>
            <w:proofErr w:type="gramEnd"/>
            <w:r w:rsidRPr="00DF2EBE">
              <w:rPr>
                <w:rFonts w:ascii="Cambria" w:hAnsi="Cambria" w:cs="Aparajita"/>
                <w:sz w:val="18"/>
                <w:szCs w:val="18"/>
              </w:rPr>
              <w:t xml:space="preserve">. I make </w:t>
            </w:r>
          </w:p>
          <w:p w:rsidR="00B26791" w:rsidRDefault="00B26791" w:rsidP="00B26791">
            <w:pPr>
              <w:ind w:right="-720"/>
              <w:rPr>
                <w:rFonts w:ascii="Cambria" w:hAnsi="Cambria" w:cs="Aparajita"/>
                <w:sz w:val="18"/>
                <w:szCs w:val="18"/>
              </w:rPr>
            </w:pPr>
            <w:r w:rsidRPr="00DF2EBE">
              <w:rPr>
                <w:rFonts w:ascii="Cambria" w:hAnsi="Cambria" w:cs="Aparajita"/>
                <w:sz w:val="18"/>
                <w:szCs w:val="18"/>
              </w:rPr>
              <w:t xml:space="preserve">inferences with some </w:t>
            </w:r>
          </w:p>
          <w:p w:rsidR="00B26791" w:rsidRPr="00DF2EBE" w:rsidRDefault="00B26791" w:rsidP="00B26791">
            <w:pPr>
              <w:ind w:right="-720"/>
              <w:rPr>
                <w:rFonts w:ascii="Cambria" w:hAnsi="Cambria" w:cs="Aparajita"/>
                <w:sz w:val="18"/>
                <w:szCs w:val="18"/>
              </w:rPr>
            </w:pPr>
            <w:r w:rsidRPr="00DF2EBE">
              <w:rPr>
                <w:rFonts w:ascii="Cambria" w:hAnsi="Cambria" w:cs="Aparajita"/>
                <w:sz w:val="18"/>
                <w:szCs w:val="18"/>
              </w:rPr>
              <w:t>inaccuracies</w:t>
            </w:r>
            <w:r w:rsidRPr="00DF2EBE">
              <w:rPr>
                <w:rFonts w:ascii="Cambria" w:hAnsi="Cambria" w:cs="Aparajita"/>
                <w:b/>
                <w:sz w:val="18"/>
                <w:szCs w:val="18"/>
              </w:rPr>
              <w:t xml:space="preserve"> &amp; need teacher </w:t>
            </w:r>
          </w:p>
          <w:p w:rsidR="00B26791" w:rsidRPr="00DF2EBE" w:rsidRDefault="00B26791" w:rsidP="00B26791">
            <w:pPr>
              <w:ind w:right="-720"/>
              <w:rPr>
                <w:rFonts w:ascii="Cambria" w:hAnsi="Cambria" w:cs="Aparajita"/>
                <w:sz w:val="18"/>
                <w:szCs w:val="18"/>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 xml:space="preserve"> </w:t>
            </w:r>
            <w:r w:rsidRPr="00DF2EBE">
              <w:rPr>
                <w:rFonts w:ascii="Cambria" w:hAnsi="Cambria" w:cs="Aparajita"/>
                <w:sz w:val="18"/>
                <w:szCs w:val="18"/>
              </w:rPr>
              <w:t>to do so.</w:t>
            </w:r>
          </w:p>
        </w:tc>
      </w:tr>
    </w:tbl>
    <w:p w:rsidR="00A409E1" w:rsidRPr="00E3312B" w:rsidRDefault="00A409E1" w:rsidP="00C76FC7">
      <w:pPr>
        <w:jc w:val="center"/>
        <w:rPr>
          <w:b/>
          <w:sz w:val="16"/>
          <w:szCs w:val="16"/>
        </w:rPr>
      </w:pPr>
    </w:p>
    <w:sectPr w:rsidR="00A409E1" w:rsidRPr="00E3312B" w:rsidSect="00162C77">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21029"/>
    <w:multiLevelType w:val="multilevel"/>
    <w:tmpl w:val="47A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A2"/>
    <w:rsid w:val="00162C77"/>
    <w:rsid w:val="00211FF9"/>
    <w:rsid w:val="004530E4"/>
    <w:rsid w:val="004F39DF"/>
    <w:rsid w:val="006212E7"/>
    <w:rsid w:val="00715FA2"/>
    <w:rsid w:val="007E7043"/>
    <w:rsid w:val="00A0146C"/>
    <w:rsid w:val="00A34FDA"/>
    <w:rsid w:val="00A409E1"/>
    <w:rsid w:val="00AE4B5B"/>
    <w:rsid w:val="00B26791"/>
    <w:rsid w:val="00C51825"/>
    <w:rsid w:val="00C76FC7"/>
    <w:rsid w:val="00C857FF"/>
    <w:rsid w:val="00E3312B"/>
    <w:rsid w:val="00ED3FB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970BD5-70C6-4207-8FBA-F377B66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1">
    <w:name w:val="heading 1"/>
    <w:basedOn w:val="Normal"/>
    <w:qFormat/>
    <w:rsid w:val="00715FA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meta">
    <w:name w:val="postmeta"/>
    <w:basedOn w:val="Normal"/>
    <w:rsid w:val="00715FA2"/>
    <w:pPr>
      <w:spacing w:before="100" w:beforeAutospacing="1" w:after="100" w:afterAutospacing="1"/>
    </w:pPr>
    <w:rPr>
      <w:rFonts w:ascii="Times New Roman" w:hAnsi="Times New Roman"/>
    </w:rPr>
  </w:style>
  <w:style w:type="character" w:customStyle="1" w:styleId="author-name">
    <w:name w:val="author-name"/>
    <w:basedOn w:val="DefaultParagraphFont"/>
    <w:rsid w:val="00715FA2"/>
  </w:style>
  <w:style w:type="character" w:styleId="Hyperlink">
    <w:name w:val="Hyperlink"/>
    <w:basedOn w:val="DefaultParagraphFont"/>
    <w:rsid w:val="00715FA2"/>
    <w:rPr>
      <w:color w:val="0000FF"/>
      <w:u w:val="single"/>
    </w:rPr>
  </w:style>
  <w:style w:type="paragraph" w:styleId="NormalWeb">
    <w:name w:val="Normal (Web)"/>
    <w:basedOn w:val="Normal"/>
    <w:rsid w:val="00715FA2"/>
    <w:pPr>
      <w:spacing w:before="100" w:beforeAutospacing="1" w:after="100" w:afterAutospacing="1"/>
    </w:pPr>
    <w:rPr>
      <w:rFonts w:ascii="Times New Roman" w:hAnsi="Times New Roman"/>
    </w:rPr>
  </w:style>
  <w:style w:type="paragraph" w:customStyle="1" w:styleId="wp-caption-text">
    <w:name w:val="wp-caption-text"/>
    <w:basedOn w:val="Normal"/>
    <w:rsid w:val="00715FA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15FA2"/>
  </w:style>
  <w:style w:type="character" w:styleId="Strong">
    <w:name w:val="Strong"/>
    <w:basedOn w:val="DefaultParagraphFont"/>
    <w:qFormat/>
    <w:rsid w:val="00715FA2"/>
    <w:rPr>
      <w:b/>
      <w:bCs/>
    </w:rPr>
  </w:style>
  <w:style w:type="character" w:styleId="Emphasis">
    <w:name w:val="Emphasis"/>
    <w:basedOn w:val="DefaultParagraphFont"/>
    <w:qFormat/>
    <w:rsid w:val="00715FA2"/>
    <w:rPr>
      <w:i/>
      <w:iCs/>
    </w:rPr>
  </w:style>
  <w:style w:type="paragraph" w:styleId="Title">
    <w:name w:val="Title"/>
    <w:basedOn w:val="Normal"/>
    <w:qFormat/>
    <w:rsid w:val="00C76FC7"/>
    <w:pPr>
      <w:jc w:val="center"/>
    </w:pPr>
    <w:rPr>
      <w:rFonts w:ascii="Book Antiqua" w:hAnsi="Book Antiqua"/>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56326">
      <w:bodyDiv w:val="1"/>
      <w:marLeft w:val="0"/>
      <w:marRight w:val="0"/>
      <w:marTop w:val="0"/>
      <w:marBottom w:val="0"/>
      <w:divBdr>
        <w:top w:val="none" w:sz="0" w:space="0" w:color="auto"/>
        <w:left w:val="none" w:sz="0" w:space="0" w:color="auto"/>
        <w:bottom w:val="none" w:sz="0" w:space="0" w:color="auto"/>
        <w:right w:val="none" w:sz="0" w:space="0" w:color="auto"/>
      </w:divBdr>
      <w:divsChild>
        <w:div w:id="725302775">
          <w:marLeft w:val="0"/>
          <w:marRight w:val="0"/>
          <w:marTop w:val="0"/>
          <w:marBottom w:val="225"/>
          <w:divBdr>
            <w:top w:val="none" w:sz="0" w:space="0" w:color="auto"/>
            <w:left w:val="none" w:sz="0" w:space="0" w:color="auto"/>
            <w:bottom w:val="dotted" w:sz="6" w:space="8" w:color="CCCCCC"/>
            <w:right w:val="none" w:sz="0" w:space="0" w:color="auto"/>
          </w:divBdr>
          <w:divsChild>
            <w:div w:id="339506599">
              <w:marLeft w:val="0"/>
              <w:marRight w:val="0"/>
              <w:marTop w:val="270"/>
              <w:marBottom w:val="0"/>
              <w:divBdr>
                <w:top w:val="none" w:sz="0" w:space="0" w:color="auto"/>
                <w:left w:val="none" w:sz="0" w:space="0" w:color="auto"/>
                <w:bottom w:val="none" w:sz="0" w:space="0" w:color="auto"/>
                <w:right w:val="none" w:sz="0" w:space="0" w:color="auto"/>
              </w:divBdr>
            </w:div>
          </w:divsChild>
        </w:div>
        <w:div w:id="1844122472">
          <w:marLeft w:val="225"/>
          <w:marRight w:val="225"/>
          <w:marTop w:val="150"/>
          <w:marBottom w:val="225"/>
          <w:divBdr>
            <w:top w:val="none" w:sz="0" w:space="0" w:color="auto"/>
            <w:left w:val="none" w:sz="0" w:space="0" w:color="auto"/>
            <w:bottom w:val="none" w:sz="0" w:space="0" w:color="auto"/>
            <w:right w:val="none" w:sz="0" w:space="0" w:color="auto"/>
          </w:divBdr>
          <w:divsChild>
            <w:div w:id="508954562">
              <w:blockQuote w:val="1"/>
              <w:marLeft w:val="300"/>
              <w:marRight w:val="300"/>
              <w:marTop w:val="0"/>
              <w:marBottom w:val="450"/>
              <w:divBdr>
                <w:top w:val="single" w:sz="6" w:space="11" w:color="DADADA"/>
                <w:left w:val="single" w:sz="6" w:space="15" w:color="DADADA"/>
                <w:bottom w:val="single" w:sz="6" w:space="11" w:color="DADADA"/>
                <w:right w:val="single" w:sz="6" w:space="15" w:color="DADADA"/>
              </w:divBdr>
            </w:div>
            <w:div w:id="551776138">
              <w:blockQuote w:val="1"/>
              <w:marLeft w:val="300"/>
              <w:marRight w:val="300"/>
              <w:marTop w:val="0"/>
              <w:marBottom w:val="450"/>
              <w:divBdr>
                <w:top w:val="single" w:sz="6" w:space="11" w:color="DADADA"/>
                <w:left w:val="single" w:sz="6" w:space="15" w:color="DADADA"/>
                <w:bottom w:val="single" w:sz="6" w:space="11" w:color="DADADA"/>
                <w:right w:val="single" w:sz="6" w:space="15" w:color="DADADA"/>
              </w:divBdr>
            </w:div>
            <w:div w:id="690225333">
              <w:blockQuote w:val="1"/>
              <w:marLeft w:val="300"/>
              <w:marRight w:val="300"/>
              <w:marTop w:val="0"/>
              <w:marBottom w:val="450"/>
              <w:divBdr>
                <w:top w:val="single" w:sz="6" w:space="11" w:color="DADADA"/>
                <w:left w:val="single" w:sz="6" w:space="15" w:color="DADADA"/>
                <w:bottom w:val="single" w:sz="6" w:space="11" w:color="DADADA"/>
                <w:right w:val="single" w:sz="6" w:space="15" w:color="DADADA"/>
              </w:divBdr>
            </w:div>
            <w:div w:id="743378534">
              <w:blockQuote w:val="1"/>
              <w:marLeft w:val="300"/>
              <w:marRight w:val="300"/>
              <w:marTop w:val="0"/>
              <w:marBottom w:val="450"/>
              <w:divBdr>
                <w:top w:val="single" w:sz="6" w:space="11" w:color="DADADA"/>
                <w:left w:val="single" w:sz="6" w:space="15" w:color="DADADA"/>
                <w:bottom w:val="single" w:sz="6" w:space="11" w:color="DADADA"/>
                <w:right w:val="single" w:sz="6" w:space="15" w:color="DADADA"/>
              </w:divBdr>
            </w:div>
            <w:div w:id="1393112599">
              <w:marLeft w:val="150"/>
              <w:marRight w:val="0"/>
              <w:marTop w:val="0"/>
              <w:marBottom w:val="150"/>
              <w:divBdr>
                <w:top w:val="single" w:sz="6" w:space="3" w:color="E6E6E6"/>
                <w:left w:val="single" w:sz="6" w:space="0" w:color="E6E6E6"/>
                <w:bottom w:val="single" w:sz="6" w:space="4" w:color="E6E6E6"/>
                <w:right w:val="single" w:sz="6" w:space="0" w:color="E6E6E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rsss.anu.edu.au/Staff/cobb-clark/contact_dcc.htm" TargetMode="External"/><Relationship Id="rId3" Type="http://schemas.openxmlformats.org/officeDocument/2006/relationships/settings" Target="settings.xml"/><Relationship Id="rId7" Type="http://schemas.openxmlformats.org/officeDocument/2006/relationships/hyperlink" Target="http://papers.nber.org/papers/w17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akonomics.com/2011/06/16/freakonomics-radio-hour-long-episode-2-%E2%80%9Cthe-economists-guide-to-parenting%E2%80%9D/" TargetMode="External"/><Relationship Id="rId5" Type="http://schemas.openxmlformats.org/officeDocument/2006/relationships/hyperlink" Target="http://www.childstats.gov/americaschildren/famsoc1.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 an Absent Father Affects Boys and Girls Differently</vt:lpstr>
    </vt:vector>
  </TitlesOfParts>
  <Company>Armada Area Schools</Company>
  <LinksUpToDate>false</LinksUpToDate>
  <CharactersWithSpaces>5119</CharactersWithSpaces>
  <SharedDoc>false</SharedDoc>
  <HLinks>
    <vt:vector size="48" baseType="variant">
      <vt:variant>
        <vt:i4>5308496</vt:i4>
      </vt:variant>
      <vt:variant>
        <vt:i4>27</vt:i4>
      </vt:variant>
      <vt:variant>
        <vt:i4>0</vt:i4>
      </vt:variant>
      <vt:variant>
        <vt:i4>5</vt:i4>
      </vt:variant>
      <vt:variant>
        <vt:lpwstr>http://aysps.gsu.edu/erdal-tekin.html</vt:lpwstr>
      </vt:variant>
      <vt:variant>
        <vt:lpwstr/>
      </vt:variant>
      <vt:variant>
        <vt:i4>393312</vt:i4>
      </vt:variant>
      <vt:variant>
        <vt:i4>24</vt:i4>
      </vt:variant>
      <vt:variant>
        <vt:i4>0</vt:i4>
      </vt:variant>
      <vt:variant>
        <vt:i4>5</vt:i4>
      </vt:variant>
      <vt:variant>
        <vt:lpwstr>http://econrsss.anu.edu.au/Staff/cobb-clark/contact_dcc.htm</vt:lpwstr>
      </vt:variant>
      <vt:variant>
        <vt:lpwstr/>
      </vt:variant>
      <vt:variant>
        <vt:i4>65537</vt:i4>
      </vt:variant>
      <vt:variant>
        <vt:i4>21</vt:i4>
      </vt:variant>
      <vt:variant>
        <vt:i4>0</vt:i4>
      </vt:variant>
      <vt:variant>
        <vt:i4>5</vt:i4>
      </vt:variant>
      <vt:variant>
        <vt:lpwstr>http://papers.nber.org/papers/w17507</vt:lpwstr>
      </vt:variant>
      <vt:variant>
        <vt:lpwstr/>
      </vt:variant>
      <vt:variant>
        <vt:i4>6946849</vt:i4>
      </vt:variant>
      <vt:variant>
        <vt:i4>18</vt:i4>
      </vt:variant>
      <vt:variant>
        <vt:i4>0</vt:i4>
      </vt:variant>
      <vt:variant>
        <vt:i4>5</vt:i4>
      </vt:variant>
      <vt:variant>
        <vt:lpwstr>http://www.freakonomics.com/2011/06/16/freakonomics-radio-hour-long-episode-2-%E2%80%9Cthe-economists-guide-to-parenting%E2%80%9D/</vt:lpwstr>
      </vt:variant>
      <vt:variant>
        <vt:lpwstr/>
      </vt:variant>
      <vt:variant>
        <vt:i4>7864352</vt:i4>
      </vt:variant>
      <vt:variant>
        <vt:i4>15</vt:i4>
      </vt:variant>
      <vt:variant>
        <vt:i4>0</vt:i4>
      </vt:variant>
      <vt:variant>
        <vt:i4>5</vt:i4>
      </vt:variant>
      <vt:variant>
        <vt:lpwstr>http://www.childstats.gov/americaschildren/famsoc1.asp</vt:lpwstr>
      </vt:variant>
      <vt:variant>
        <vt:lpwstr/>
      </vt:variant>
      <vt:variant>
        <vt:i4>5636154</vt:i4>
      </vt:variant>
      <vt:variant>
        <vt:i4>9</vt:i4>
      </vt:variant>
      <vt:variant>
        <vt:i4>0</vt:i4>
      </vt:variant>
      <vt:variant>
        <vt:i4>5</vt:i4>
      </vt:variant>
      <vt:variant>
        <vt:lpwstr>http://www.addtoany.com/share_save</vt:lpwstr>
      </vt:variant>
      <vt:variant>
        <vt:lpwstr>url=http%3A%2F%2Ffreakonomics.com%2F2011%2F10%2F19%2Ffathers-and-delinquency-in-the-american-family%2F&amp;title=How%20an%20Absent%20Father%20Affects%20Boys%20and%20Girls%20Differently&amp;description=</vt:lpwstr>
      </vt:variant>
      <vt:variant>
        <vt:i4>1179712</vt:i4>
      </vt:variant>
      <vt:variant>
        <vt:i4>6</vt:i4>
      </vt:variant>
      <vt:variant>
        <vt:i4>0</vt:i4>
      </vt:variant>
      <vt:variant>
        <vt:i4>5</vt:i4>
      </vt:variant>
      <vt:variant>
        <vt:lpwstr>javascript:window.print()</vt:lpwstr>
      </vt:variant>
      <vt:variant>
        <vt:lpwstr/>
      </vt:variant>
      <vt:variant>
        <vt:i4>327762</vt:i4>
      </vt:variant>
      <vt:variant>
        <vt:i4>3</vt:i4>
      </vt:variant>
      <vt:variant>
        <vt:i4>0</vt:i4>
      </vt:variant>
      <vt:variant>
        <vt:i4>5</vt:i4>
      </vt:variant>
      <vt:variant>
        <vt:lpwstr>http://freakonomics.com/author/freakonomics/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Absent Father Affects Boys and Girls Differently</dc:title>
  <dc:subject/>
  <dc:creator>Aric Foster</dc:creator>
  <cp:keywords/>
  <dc:description/>
  <cp:lastModifiedBy>aricfoster</cp:lastModifiedBy>
  <cp:revision>5</cp:revision>
  <dcterms:created xsi:type="dcterms:W3CDTF">2014-10-10T10:42:00Z</dcterms:created>
  <dcterms:modified xsi:type="dcterms:W3CDTF">2015-10-26T11:03:00Z</dcterms:modified>
</cp:coreProperties>
</file>